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【示例】AC9.X-作业空跑监测闭环-需求规格说明书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本文为需求规格说明书的填写示例，取自 HPC「作业空跑监测流程闭环」真实需求，可直接复制结构使用。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2325"/>
        <w:gridCol w:w="5955"/>
      </w:tblGrid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字段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内容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文档编号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AC9.X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文档名称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AC9.X-HPC作业空跑监测流程闭环-需求规格说明书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所属模块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HPC / 作业管理 / 作业监测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产品经理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杨雅雯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业务接口人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雷层层、刘程、马兵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需求条目数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3</w:t>
            </w:r>
          </w:p>
        </w:tc>
      </w:tr>
    </w:tbl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color w:val="3370ff"/>
          <w:sz w:val="36"/>
        </w:rPr>
        <w:t xml:space="preserve">1. </w:t>
      </w:r>
      <w:r>
        <w:rPr>
          <w:rFonts w:eastAsia="等线" w:ascii="Arial" w:cs="Arial" w:hAnsi="Arial"/>
          <w:b w:val="true"/>
          <w:sz w:val="36"/>
        </w:rPr>
        <w:t>业务背景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平台作业常出现空跑异常：作业持续占用 CPU、GPU、内存等算力资源，无有效计算输出、日志停止更新、硬件利用率趋近于零，但任务不会自动终止。 该问题带来四重负面影响：</w:t>
      </w:r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资源损耗</w:t>
      </w:r>
      <w:r>
        <w:rPr>
          <w:rFonts w:eastAsia="等线" w:ascii="Arial" w:cs="Arial" w:hAnsi="Arial"/>
          <w:sz w:val="22"/>
        </w:rPr>
        <w:t>：节点被无效占用，正常作业排队拥堵，集群整体算力利用率走低；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成本抬升</w:t>
      </w:r>
      <w:r>
        <w:rPr>
          <w:rFonts w:eastAsia="等线" w:ascii="Arial" w:cs="Arial" w:hAnsi="Arial"/>
          <w:sz w:val="22"/>
        </w:rPr>
        <w:t>：按资源使用计费模式下，平台与用户成本同步增加，已产生退费纠纷；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用户体验差</w:t>
      </w:r>
      <w:r>
        <w:rPr>
          <w:rFonts w:eastAsia="等线" w:ascii="Arial" w:cs="Arial" w:hAnsi="Arial"/>
          <w:sz w:val="22"/>
        </w:rPr>
        <w:t>：用户误判作业正常运行，故障发现严重滞后；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运维压力大</w:t>
      </w:r>
      <w:r>
        <w:rPr>
          <w:rFonts w:eastAsia="等线" w:ascii="Arial" w:cs="Arial" w:hAnsi="Arial"/>
          <w:sz w:val="22"/>
        </w:rPr>
        <w:t>：运维缺少高效排查处置手段。 现阶段仅依靠人工巡检排查空跑，覆盖不全、发现滞后，治理效果薄弱。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1" w:id="1"/>
      <w:r>
        <w:rPr>
          <w:rFonts w:eastAsia="等线" w:ascii="Arial" w:cs="Arial" w:hAnsi="Arial"/>
          <w:color w:val="3370ff"/>
          <w:sz w:val="36"/>
        </w:rPr>
        <w:t xml:space="preserve">2. </w:t>
      </w:r>
      <w:r>
        <w:rPr>
          <w:rFonts w:eastAsia="等线" w:ascii="Arial" w:cs="Arial" w:hAnsi="Arial"/>
          <w:b w:val="true"/>
          <w:sz w:val="36"/>
        </w:rPr>
        <w:t>整体目标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本版本目标：搭建空跑作业全流程闭环，实现系统自动识别、消息触达、用户自主处理，把人工巡检被动排查升级为系统主动预警。 闭环有效性通过三项核心指标校验：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检测精度</w:t>
      </w:r>
      <w:r>
        <w:rPr>
          <w:rFonts w:eastAsia="等线" w:ascii="Arial" w:cs="Arial" w:hAnsi="Arial"/>
          <w:sz w:val="22"/>
        </w:rPr>
        <w:t>：识别准确率≥60%、漏报率＜10%，保障预警基础有效；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处置效率</w:t>
      </w:r>
      <w:r>
        <w:rPr>
          <w:rFonts w:eastAsia="等线" w:ascii="Arial" w:cs="Arial" w:hAnsi="Arial"/>
          <w:sz w:val="22"/>
        </w:rPr>
        <w:t>：标记空跑至资源释放平均耗时≤2 小时，快速压降资源浪费；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用户体验</w:t>
      </w:r>
      <w:r>
        <w:rPr>
          <w:rFonts w:eastAsia="等线" w:ascii="Arial" w:cs="Arial" w:hAnsi="Arial"/>
          <w:sz w:val="22"/>
        </w:rPr>
        <w:t>：预警消息用户满意度≥88%，避免通知扰民导致整改失效。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2" w:id="2"/>
      <w:r>
        <w:rPr>
          <w:rFonts w:eastAsia="等线" w:ascii="Arial" w:cs="Arial" w:hAnsi="Arial"/>
          <w:color w:val="3370ff"/>
          <w:sz w:val="36"/>
        </w:rPr>
        <w:t xml:space="preserve">3. </w:t>
      </w:r>
      <w:r>
        <w:rPr>
          <w:rFonts w:eastAsia="等线" w:ascii="Arial" w:cs="Arial" w:hAnsi="Arial"/>
          <w:b w:val="true"/>
          <w:sz w:val="36"/>
        </w:rPr>
        <w:t>需求清单</w:t>
      </w:r>
      <w:bookmarkEnd w:id="2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40"/>
        <w:gridCol w:w="1500"/>
        <w:gridCol w:w="4485"/>
        <w:gridCol w:w="1455"/>
      </w:tblGrid>
      <w:tr>
        <w:tc>
          <w:tcPr>
            <w:tcW w:w="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序号</w:t>
            </w:r>
          </w:p>
        </w:tc>
        <w:tc>
          <w:tcPr>
            <w:tcW w:w="15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需求名称</w:t>
            </w:r>
          </w:p>
        </w:tc>
        <w:tc>
          <w:tcPr>
            <w:tcW w:w="4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  <w:shd w:fill="f2f3f5"/>
              </w:rPr>
              <w:t>需求简述</w:t>
            </w:r>
          </w:p>
        </w:tc>
        <w:tc>
          <w:tcPr>
            <w:tcW w:w="14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优先级</w:t>
            </w:r>
          </w:p>
        </w:tc>
      </w:tr>
      <w:tr>
        <w:tc>
          <w:tcPr>
            <w:tcW w:w="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</w:t>
            </w:r>
          </w:p>
        </w:tc>
        <w:tc>
          <w:tcPr>
            <w:tcW w:w="15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作业空跑识别</w:t>
            </w:r>
          </w:p>
        </w:tc>
        <w:tc>
          <w:tcPr>
            <w:tcW w:w="4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对运行中作业按 10 分钟频率检测日志输出与资源利用率，超过阈值无输出的标记为疑似空跑，阈值默认 60 分钟且用户可调</w:t>
            </w:r>
          </w:p>
        </w:tc>
        <w:tc>
          <w:tcPr>
            <w:tcW w:w="14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P0</w:t>
            </w:r>
          </w:p>
        </w:tc>
      </w:tr>
      <w:tr>
        <w:tc>
          <w:tcPr>
            <w:tcW w:w="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2</w:t>
            </w:r>
          </w:p>
        </w:tc>
        <w:tc>
          <w:tcPr>
            <w:tcW w:w="15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作业空跑预警通知</w:t>
            </w:r>
          </w:p>
        </w:tc>
        <w:tc>
          <w:tcPr>
            <w:tcW w:w="4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作业被标记空跑后向提交用户推送预警，站内消息、短信、邮件默认开启，同一作业只发一次</w:t>
            </w:r>
          </w:p>
        </w:tc>
        <w:tc>
          <w:tcPr>
            <w:tcW w:w="14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P0</w:t>
            </w:r>
          </w:p>
        </w:tc>
      </w:tr>
      <w:tr>
        <w:tc>
          <w:tcPr>
            <w:tcW w:w="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3</w:t>
            </w:r>
          </w:p>
        </w:tc>
        <w:tc>
          <w:tcPr>
            <w:tcW w:w="15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空跑作业用户处置</w:t>
            </w:r>
          </w:p>
        </w:tc>
        <w:tc>
          <w:tcPr>
            <w:tcW w:w="4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用户从通知跳转作业详情，可终止作业或忽略告警，忽略后取消空跑标签且不再重复提醒</w:t>
            </w:r>
          </w:p>
        </w:tc>
        <w:tc>
          <w:tcPr>
            <w:tcW w:w="14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P1</w:t>
            </w:r>
          </w:p>
        </w:tc>
      </w:tr>
    </w:tbl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3" w:id="3"/>
      <w:r>
        <w:rPr>
          <w:rFonts w:eastAsia="等线" w:ascii="Arial" w:cs="Arial" w:hAnsi="Arial"/>
          <w:color w:val="3370ff"/>
          <w:sz w:val="36"/>
        </w:rPr>
        <w:t xml:space="preserve">4. </w:t>
      </w:r>
      <w:r>
        <w:rPr>
          <w:rFonts w:eastAsia="等线" w:ascii="Arial" w:cs="Arial" w:hAnsi="Arial"/>
          <w:b w:val="true"/>
          <w:sz w:val="36"/>
        </w:rPr>
        <w:t>需求详述</w:t>
      </w:r>
      <w:bookmarkEnd w:id="3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color w:val="3370ff"/>
          <w:sz w:val="32"/>
        </w:rPr>
        <w:t xml:space="preserve">4.1 </w:t>
      </w:r>
      <w:r>
        <w:rPr>
          <w:rFonts w:eastAsia="等线" w:ascii="Arial" w:cs="Arial" w:hAnsi="Arial"/>
          <w:b w:val="true"/>
          <w:color w:val="245bdb"/>
          <w:sz w:val="32"/>
        </w:rPr>
        <w:t>作业空跑识别</w:t>
      </w:r>
      <w:bookmarkEnd w:id="4"/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用户故事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【HPC 平台】在【作业运行过程中】【持续监测日志输出与资源利用率】，【自动识别出疑似空跑的作业】。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详细描述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对运行中的作业持续监控，当作业日志在阈值时间内无任何输出，或资源利用率低于设定值时，将该作业标记为「疑似空跑」。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日志检测维度：针对平台作业量 TOP10 应用，检测其标准输出（stdout）、标准错误（stderr）、作业自定义日志文件。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485"/>
        <w:gridCol w:w="1980"/>
        <w:gridCol w:w="4800"/>
      </w:tblGrid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场景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应用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检测的日志文件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工程计算·命令行/模板提交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FLUENT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TRN 日志、slurm 日志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工程计算·命令行/模板提交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STARCCM、Ansys dyna、Lsdyna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slurm 日志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工程计算·命令行/模板提交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CFX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以 cartest 开头的 .def 文件、.out 文件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科学计算·命令行提交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Lammps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log.lammps、slurm 日志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科学计算·命令行提交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Gromacs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*.log（* 为输入文件名）、slurm 日志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科学计算·命令行提交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cp2k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slurm 日志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科学计算·命令行提交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deepMD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lcurve.out、slurm 日志</w:t>
            </w:r>
          </w:p>
        </w:tc>
      </w:tr>
    </w:tbl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科学计算的命令行提交场景可覆盖该类作业约 99%。Lammps、Gromacs、cp2k 与 vasp 的日志卡住场景占全部空跑场景 90% 以上，优先保障这几类的检测准确性。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资源检测维度：覆盖独占、共享两类作业。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检测频率：由调度系统配置，10 分钟一次。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时间阈值：默认 60 分钟。用户可在页面自行调整，取值范围为 [1,120] 分钟的整数。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异常场景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2325"/>
        <w:gridCol w:w="5955"/>
      </w:tblGrid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场景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处理方式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日志文件因权限或存储性能问题无法读取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标记为「检测失败」并告警运维，不判定为空跑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作业在判定完成前已正常结束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取消判定，记入历史统计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用户输入的时间阈值超出 [1,120]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输入框校验提示，不允许保存</w:t>
            </w:r>
          </w:p>
        </w:tc>
      </w:tr>
    </w:tbl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验收标准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485"/>
        <w:gridCol w:w="1980"/>
        <w:gridCol w:w="4800"/>
      </w:tblGrid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编号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验收项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验收标准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01-AC-01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日志检测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TOP10 应用的对应日志文件均能正确检测到输出更新；检测频率符合 10 分钟一次的配置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01-AC-02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阈值配置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用户可在页面修改时间阈值，取值范围 [1,120] 分钟整数，超出范围有校验提示；修改后下一检测周期生效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01-AC-03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识别准确率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人工抽检已标记作业，准确率 ≥ 60%；抽检未标记作业，漏报率 &lt; 10%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01-AC-04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异常处理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日志不可读时标记检测失败并告警运维，不误判为空跑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color w:val="3370ff"/>
          <w:sz w:val="32"/>
        </w:rPr>
        <w:t xml:space="preserve">4.2 </w:t>
      </w:r>
      <w:r>
        <w:rPr>
          <w:rFonts w:eastAsia="等线" w:ascii="Arial" w:cs="Arial" w:hAnsi="Arial"/>
          <w:b w:val="true"/>
          <w:color w:val="245bdb"/>
          <w:sz w:val="32"/>
        </w:rPr>
        <w:t>作业空跑预警通知</w:t>
      </w:r>
      <w:bookmarkEnd w:id="5"/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用户故事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【HPC 用户】在【作业被识别为空跑】场景下【收到平台推送的预警消息】，【及时知晓作业可能异常】。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详细描述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作业被标记为空跑时，自动向提交用户推送预警消息。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消息类型：新增「作业空跑预警」。原「作业低利用率预警」并入此类型，不再单独存在。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触发条件：日志超过 N 分钟未输出，或平均资源利用率低于 N%。两类条件合并为同一消息类型；同时触发时，消息内容优先展示日志未输出。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通知渠道：站内消息、短信、邮件默认开启；机器人可选。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消息模板：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2325"/>
        <w:gridCol w:w="5955"/>
      </w:tblGrid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渠道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模板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站内消息 / 邮件 / 机器人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您在@{centerName}的@{count}条作业，@{jobNameDetail}，作业@{content}，请及时查看作业是否异常，避免浪费机时！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短信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您在@{centerName}的@{count}条作业，作业@{content}。请及时查看作业是否异常，避免浪费机时！</w:t>
            </w:r>
          </w:p>
        </w:tc>
      </w:tr>
    </w:tbl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变量 content 取值为「日志超过 60 分钟未输出」或「资源利用率低于 N%」。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推送频次：同一作业只发送一次空跑预警，不重复打扰。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异常场景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2325"/>
        <w:gridCol w:w="5955"/>
      </w:tblGrid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场景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处理方式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作业在消息发出前已结束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取消发送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单一渠道推送失败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其余渠道正常推送，失败渠道记录日志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用户已关闭某渠道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按用户设置推送，不强制触达</w:t>
            </w:r>
          </w:p>
        </w:tc>
      </w:tr>
    </w:tbl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验收标准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485"/>
        <w:gridCol w:w="1980"/>
        <w:gridCol w:w="4800"/>
      </w:tblGrid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编号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验收项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验收标准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02-AC-01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通知触达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站内消息、短信、邮件均正确送达，内容与模板一致、变量取值正确；机器人渠道开启后正常推送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02-AC-02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通知去重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同一作业仅发送一次空跑预警，不重复推送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02-AC-03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优先级规则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日志未输出与利用率偏低同时触发时，消息内容展示日志未输出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02-AC-04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消息类型合并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原「作业低利用率预警」不再单独发送，统一为「作业空跑预警」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color w:val="3370ff"/>
          <w:sz w:val="32"/>
        </w:rPr>
        <w:t xml:space="preserve">4.3 </w:t>
      </w:r>
      <w:r>
        <w:rPr>
          <w:rFonts w:eastAsia="等线" w:ascii="Arial" w:cs="Arial" w:hAnsi="Arial"/>
          <w:b w:val="true"/>
          <w:color w:val="245bdb"/>
          <w:sz w:val="32"/>
        </w:rPr>
        <w:t>空跑作业用户处置</w:t>
      </w:r>
      <w:bookmarkEnd w:id="6"/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用户故事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【HPC 用户】在【收到空跑预警】场景下【查看作业详情并选择终止或忽略】，【避免继续浪费机时，或排除误报】。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详细描述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用户收到通知后可从消息跳转至作业详情页，选择终止作业或忽略告警。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点击忽略后，该作业取消空跑标签，不再计入空跑统计，且不再重复告警。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异常场景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2325"/>
        <w:gridCol w:w="5955"/>
      </w:tblGrid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场景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处理方式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用户点击时作业已自行结束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提示作业已结束，操作按钮置灰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终止操作失败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提示失败原因，保留作业当前状态</w:t>
            </w:r>
          </w:p>
        </w:tc>
      </w:tr>
      <w:tr>
        <w:tc>
          <w:tcPr>
            <w:tcW w:w="232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已忽略的作业再次触发条件</w:t>
            </w:r>
          </w:p>
        </w:tc>
        <w:tc>
          <w:tcPr>
            <w:tcW w:w="595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不再告警</w:t>
            </w:r>
          </w:p>
        </w:tc>
      </w:tr>
    </w:tbl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b w:val="true"/>
          <w:sz w:val="22"/>
        </w:rPr>
        <w:t>验收标准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485"/>
        <w:gridCol w:w="1980"/>
        <w:gridCol w:w="4800"/>
      </w:tblGrid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编号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验收项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sz w:val="22"/>
              </w:rPr>
              <w:t>验收标准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03-AC-01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跳转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可从通知跳转至对应作业详情页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03-AC-02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终止作业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终止后资源正常释放，作业状态正确更新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03-AC-03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忽略告警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点击忽略后空跑标签取消，不再计入统计，不再重复告警</w:t>
            </w:r>
          </w:p>
        </w:tc>
      </w:tr>
      <w:tr>
        <w:tc>
          <w:tcPr>
            <w:tcW w:w="14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03-AC-04</w:t>
            </w:r>
          </w:p>
        </w:tc>
        <w:tc>
          <w:tcPr>
            <w:tcW w:w="19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状态异常</w:t>
            </w:r>
          </w:p>
        </w:tc>
        <w:tc>
          <w:tcPr>
            <w:tcW w:w="48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作业已结束时按钮置灰并提示，不产生无效操作</w:t>
            </w:r>
          </w:p>
        </w:tc>
      </w:tr>
    </w:tbl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7" w:id="7"/>
      <w:r>
        <w:rPr>
          <w:rFonts w:eastAsia="等线" w:ascii="Arial" w:cs="Arial" w:hAnsi="Arial"/>
          <w:color w:val="3370ff"/>
          <w:sz w:val="36"/>
        </w:rPr>
        <w:t xml:space="preserve">5. </w:t>
      </w:r>
      <w:r>
        <w:rPr>
          <w:rFonts w:eastAsia="等线" w:ascii="Arial" w:cs="Arial" w:hAnsi="Arial"/>
          <w:b w:val="true"/>
          <w:sz w:val="36"/>
        </w:rPr>
        <w:t>非功能要求</w:t>
      </w:r>
      <w:bookmarkEnd w:id="7"/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检测功能对集群性能的影响需可忽略，采集开销不超过 1% CPU，且不影响作业正常运行。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8" w:id="8"/>
      <w:r>
        <w:rPr>
          <w:rFonts w:eastAsia="等线" w:ascii="Arial" w:cs="Arial" w:hAnsi="Arial"/>
          <w:b w:val="true"/>
          <w:sz w:val="36"/>
        </w:rPr>
        <w:t>附录：</w:t>
      </w:r>
      <w:bookmarkEnd w:id="8"/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原型文件：（链接）</w:t>
      </w:r>
    </w:p>
    <w:p>
      <w:pPr>
        <w:spacing w:before="120" w:after="120" w:line="288" w:lineRule="auto"/>
        <w:ind w:left="0" w:firstLine="0"/>
        <w:jc w:val="left"/>
      </w:pPr>
      <w:r>
        <w:rPr>
          <w:rFonts w:eastAsia="等线" w:ascii="Arial" w:cs="Arial" w:hAnsi="Arial"/>
          <w:sz w:val="22"/>
        </w:rPr>
        <w:t>设计稿：（链接）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822751">
    <w:lvl>
      <w:start w:val="1"/>
      <w:numFmt w:val="decimal"/>
      <w:suff w:val="tab"/>
      <w:lvlText w:val="%1."/>
      <w:rPr>
        <w:color w:val="3370ff"/>
      </w:rPr>
    </w:lvl>
  </w:abstractNum>
  <w:abstractNum w:abstractNumId="822752">
    <w:lvl>
      <w:start w:val="2"/>
      <w:numFmt w:val="decimal"/>
      <w:suff w:val="tab"/>
      <w:lvlText w:val="%1."/>
      <w:rPr>
        <w:color w:val="3370ff"/>
      </w:rPr>
    </w:lvl>
  </w:abstractNum>
  <w:abstractNum w:abstractNumId="822753">
    <w:lvl>
      <w:start w:val="3"/>
      <w:numFmt w:val="decimal"/>
      <w:suff w:val="tab"/>
      <w:lvlText w:val="%1."/>
      <w:rPr>
        <w:color w:val="3370ff"/>
      </w:rPr>
    </w:lvl>
  </w:abstractNum>
  <w:abstractNum w:abstractNumId="822754">
    <w:lvl>
      <w:start w:val="4"/>
      <w:numFmt w:val="decimal"/>
      <w:suff w:val="tab"/>
      <w:lvlText w:val="%1."/>
      <w:rPr>
        <w:color w:val="3370ff"/>
      </w:rPr>
    </w:lvl>
  </w:abstractNum>
  <w:abstractNum w:abstractNumId="822755">
    <w:lvl>
      <w:start w:val="1"/>
      <w:numFmt w:val="decimal"/>
      <w:suff w:val="tab"/>
      <w:lvlText w:val="%1."/>
      <w:rPr>
        <w:color w:val="3370ff"/>
      </w:rPr>
    </w:lvl>
  </w:abstractNum>
  <w:abstractNum w:abstractNumId="822756">
    <w:lvl>
      <w:start w:val="2"/>
      <w:numFmt w:val="decimal"/>
      <w:suff w:val="tab"/>
      <w:lvlText w:val="%1."/>
      <w:rPr>
        <w:color w:val="3370ff"/>
      </w:rPr>
    </w:lvl>
  </w:abstractNum>
  <w:abstractNum w:abstractNumId="822757">
    <w:lvl>
      <w:start w:val="3"/>
      <w:numFmt w:val="decimal"/>
      <w:suff w:val="tab"/>
      <w:lvlText w:val="%1."/>
      <w:rPr>
        <w:color w:val="3370ff"/>
      </w:rPr>
    </w:lvl>
  </w:abstractNum>
  <w:num w:numId="1">
    <w:abstractNumId w:val="822751"/>
  </w:num>
  <w:num w:numId="2">
    <w:abstractNumId w:val="822752"/>
  </w:num>
  <w:num w:numId="3">
    <w:abstractNumId w:val="822753"/>
  </w:num>
  <w:num w:numId="4">
    <w:abstractNumId w:val="822754"/>
  </w:num>
  <w:num w:numId="5">
    <w:abstractNumId w:val="822755"/>
  </w:num>
  <w:num w:numId="6">
    <w:abstractNumId w:val="822756"/>
  </w:num>
  <w:num w:numId="7">
    <w:abstractNumId w:val="822757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2026-08-03T03:28:36Z</dcterms:created>
  <dc:creator>Apache POI</dc:creator>
</cp:coreProperties>
</file>